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A659EA" w:rsidRPr="00973BA8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</w:t>
      </w:r>
    </w:p>
    <w:p w:rsidR="00A659EA" w:rsidRPr="00973BA8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Министр здравоохранения</w:t>
      </w:r>
    </w:p>
    <w:p w:rsidR="00A659EA" w:rsidRPr="00973BA8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Республики Казахстан</w:t>
      </w:r>
    </w:p>
    <w:p w:rsidR="00A659EA" w:rsidRPr="00973BA8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12 ноября 2021 года</w:t>
      </w:r>
    </w:p>
    <w:p w:rsidR="00A659EA" w:rsidRPr="00973BA8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№ Қ</w:t>
      </w:r>
      <w:proofErr w:type="gramStart"/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</w:t>
      </w:r>
      <w:proofErr w:type="gramEnd"/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ДСМ -113</w:t>
      </w:r>
      <w:r w:rsidR="006106F2"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973BA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Форма</w:t>
      </w: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Объявление о проведении закупа лекарственных средств,</w:t>
      </w:r>
      <w:r w:rsidR="00896D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медицинских изделий способом проведения тендера</w:t>
      </w: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z52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заказчика или организатора закупа</w:t>
      </w:r>
    </w:p>
    <w:bookmarkEnd w:id="0"/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ГКП «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Областное патологоанатомическое бюро</w:t>
      </w: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 на ПХВ ГУ Управление здравоохранения Актюбинской области</w:t>
      </w:r>
    </w:p>
    <w:p w:rsidR="00A659EA" w:rsidRPr="009B2135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 заказчика или организатора закупа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proofErr w:type="spellStart"/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.А</w:t>
      </w:r>
      <w:proofErr w:type="gramEnd"/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ктобе</w:t>
      </w:r>
      <w:proofErr w:type="spellEnd"/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ул. Джамбула 1Б</w:t>
      </w:r>
      <w:r w:rsidR="009B21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9B2135" w:rsidRPr="009B21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KZ276010121000034332; Банк: АО «Народный банк Казахстана», БИК: HSBKKZKX; КБЕ: 16, БИН 060840004203</w:t>
      </w:r>
    </w:p>
    <w:p w:rsidR="00A659EA" w:rsidRPr="00A659EA" w:rsidRDefault="00DE2DD1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бъявляет о проведении закупа способом тендера </w:t>
      </w:r>
      <w:proofErr w:type="gramStart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следующих</w:t>
      </w:r>
      <w:proofErr w:type="gramEnd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лекарственных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средств/медицинских изделий/ фармацевтических услуг: наименование закупаемых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фармацевтических услуг, международных непатентованных наименований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закупаемых лекарственных средств и (или) медицинских изделий, торговых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наименований – в случае индивидуальной непереносимости пациента, об объеме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закупа, </w:t>
      </w:r>
      <w:proofErr w:type="gramStart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месте</w:t>
      </w:r>
      <w:proofErr w:type="gramEnd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поставок, суммах, выделенных для закупа по каждому лоту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X="183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512"/>
        <w:gridCol w:w="850"/>
        <w:gridCol w:w="851"/>
        <w:gridCol w:w="2694"/>
        <w:gridCol w:w="2268"/>
      </w:tblGrid>
      <w:tr w:rsidR="00DE2DD1" w:rsidTr="00896D04">
        <w:trPr>
          <w:trHeight w:val="837"/>
        </w:trPr>
        <w:tc>
          <w:tcPr>
            <w:tcW w:w="534" w:type="dxa"/>
          </w:tcPr>
          <w:p w:rsidR="00A659EA" w:rsidRPr="00AD495E" w:rsidRDefault="00A659EA" w:rsidP="00896D04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896D04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2" w:type="dxa"/>
          </w:tcPr>
          <w:p w:rsidR="00A659EA" w:rsidRPr="00AD495E" w:rsidRDefault="00A659EA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</w:t>
            </w:r>
            <w:proofErr w:type="spellEnd"/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 за ед., тенге</w:t>
            </w:r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9EA" w:rsidRPr="00AD495E" w:rsidRDefault="00AD495E" w:rsidP="00896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Сумма, тенге</w:t>
            </w:r>
          </w:p>
          <w:p w:rsidR="00A659EA" w:rsidRPr="00AD495E" w:rsidRDefault="00A659EA" w:rsidP="00896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2DD1" w:rsidTr="00896D04">
        <w:trPr>
          <w:trHeight w:val="510"/>
        </w:trPr>
        <w:tc>
          <w:tcPr>
            <w:tcW w:w="534" w:type="dxa"/>
          </w:tcPr>
          <w:p w:rsidR="00AD495E" w:rsidRDefault="00AD495E" w:rsidP="00896D04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2" w:type="dxa"/>
          </w:tcPr>
          <w:p w:rsidR="00AD495E" w:rsidRDefault="00621C89" w:rsidP="00896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BBA">
              <w:rPr>
                <w:rFonts w:ascii="Times New Roman" w:hAnsi="Times New Roman" w:cs="Times New Roman"/>
                <w:b/>
                <w:bCs/>
              </w:rPr>
              <w:t xml:space="preserve">Набор для проведения цитологических исследований гинекологического материала к системе </w:t>
            </w:r>
            <w:r w:rsidRPr="00571BBA">
              <w:t xml:space="preserve"> </w:t>
            </w:r>
            <w:r w:rsidRPr="00571BBA">
              <w:rPr>
                <w:rFonts w:ascii="Times New Roman" w:hAnsi="Times New Roman" w:cs="Times New Roman"/>
                <w:b/>
                <w:bCs/>
              </w:rPr>
              <w:t xml:space="preserve">приготовления и окрашивания мазков  BD </w:t>
            </w:r>
            <w:proofErr w:type="spellStart"/>
            <w:r w:rsidRPr="00571BBA">
              <w:rPr>
                <w:rFonts w:ascii="Times New Roman" w:hAnsi="Times New Roman" w:cs="Times New Roman"/>
                <w:b/>
                <w:bCs/>
              </w:rPr>
              <w:t>PrepStain</w:t>
            </w:r>
            <w:proofErr w:type="spellEnd"/>
            <w:r w:rsidRPr="00571BBA">
              <w:rPr>
                <w:rFonts w:ascii="Times New Roman" w:hAnsi="Times New Roman" w:cs="Times New Roman"/>
                <w:b/>
                <w:bCs/>
              </w:rPr>
              <w:t>™</w:t>
            </w:r>
          </w:p>
        </w:tc>
        <w:tc>
          <w:tcPr>
            <w:tcW w:w="850" w:type="dxa"/>
          </w:tcPr>
          <w:p w:rsidR="00AD495E" w:rsidRPr="00C9321E" w:rsidRDefault="00621C89" w:rsidP="00896D04">
            <w:r>
              <w:t>набор</w:t>
            </w:r>
          </w:p>
        </w:tc>
        <w:tc>
          <w:tcPr>
            <w:tcW w:w="851" w:type="dxa"/>
          </w:tcPr>
          <w:p w:rsidR="00AD495E" w:rsidRPr="001B69CC" w:rsidRDefault="003E272B" w:rsidP="000F09CA">
            <w:r>
              <w:rPr>
                <w:lang w:val="kk-KZ"/>
              </w:rPr>
              <w:t>1488</w:t>
            </w:r>
            <w:r w:rsidR="00621C89" w:rsidRPr="001B69CC">
              <w:t>0</w:t>
            </w:r>
          </w:p>
        </w:tc>
        <w:tc>
          <w:tcPr>
            <w:tcW w:w="2694" w:type="dxa"/>
          </w:tcPr>
          <w:p w:rsidR="00AD495E" w:rsidRPr="001B69CC" w:rsidRDefault="00435E34" w:rsidP="00896D04">
            <w:r w:rsidRPr="001B69CC">
              <w:t>3500</w:t>
            </w:r>
          </w:p>
        </w:tc>
        <w:tc>
          <w:tcPr>
            <w:tcW w:w="2268" w:type="dxa"/>
          </w:tcPr>
          <w:p w:rsidR="00AD495E" w:rsidRDefault="000F09CA" w:rsidP="003E272B">
            <w:r>
              <w:rPr>
                <w:lang w:val="en-US"/>
              </w:rPr>
              <w:t>52</w:t>
            </w:r>
            <w:r w:rsidR="001E57CC">
              <w:rPr>
                <w:lang w:val="kk-KZ"/>
              </w:rPr>
              <w:t xml:space="preserve">  </w:t>
            </w:r>
            <w:r w:rsidR="00435E34">
              <w:t>0</w:t>
            </w:r>
            <w:r w:rsidR="003E272B">
              <w:rPr>
                <w:lang w:val="kk-KZ"/>
              </w:rPr>
              <w:t>8</w:t>
            </w:r>
            <w:r w:rsidR="00435E34">
              <w:t>0</w:t>
            </w:r>
            <w:r w:rsidR="00896D04">
              <w:t xml:space="preserve"> </w:t>
            </w:r>
            <w:r w:rsidR="00435E34">
              <w:t>0</w:t>
            </w:r>
            <w:r w:rsidR="00896D04">
              <w:t>0</w:t>
            </w:r>
            <w:r w:rsidR="00435E34">
              <w:t>0</w:t>
            </w:r>
          </w:p>
        </w:tc>
      </w:tr>
    </w:tbl>
    <w:p w:rsidR="00896D04" w:rsidRDefault="00896D04" w:rsidP="00896D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6D04" w:rsidRPr="00896D04" w:rsidRDefault="00896D04" w:rsidP="00896D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Техническая спецификация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567"/>
        <w:gridCol w:w="1985"/>
        <w:gridCol w:w="1985"/>
        <w:gridCol w:w="7512"/>
        <w:gridCol w:w="1275"/>
        <w:gridCol w:w="1418"/>
      </w:tblGrid>
      <w:tr w:rsidR="00896D04" w:rsidRPr="0018442E" w:rsidTr="00896D04">
        <w:trPr>
          <w:trHeight w:val="100"/>
        </w:trPr>
        <w:tc>
          <w:tcPr>
            <w:tcW w:w="567" w:type="dxa"/>
          </w:tcPr>
          <w:p w:rsidR="00896D04" w:rsidRDefault="00896D04" w:rsidP="00E06B2B">
            <w:pPr>
              <w:ind w:left="21" w:hanging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  <w:p w:rsidR="00896D04" w:rsidRDefault="00896D04" w:rsidP="00896D04">
            <w:pPr>
              <w:ind w:left="-1526" w:firstLine="152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96D04" w:rsidRDefault="00896D04" w:rsidP="00E06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04" w:rsidRDefault="00896D04" w:rsidP="00E06B2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6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96D04" w:rsidRDefault="00896D04" w:rsidP="00E06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Комплектующие </w:t>
            </w:r>
          </w:p>
          <w:p w:rsidR="00896D04" w:rsidRDefault="00896D04" w:rsidP="00E06B2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набора</w:t>
            </w:r>
          </w:p>
        </w:tc>
        <w:tc>
          <w:tcPr>
            <w:tcW w:w="7512" w:type="dxa"/>
          </w:tcPr>
          <w:p w:rsidR="00896D04" w:rsidRPr="0018442E" w:rsidRDefault="00896D04" w:rsidP="00E06B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gramStart"/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1275" w:type="dxa"/>
          </w:tcPr>
          <w:p w:rsidR="00896D04" w:rsidRPr="0018442E" w:rsidRDefault="00896D04" w:rsidP="00E06B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Фасовка</w:t>
            </w:r>
          </w:p>
        </w:tc>
        <w:tc>
          <w:tcPr>
            <w:tcW w:w="1418" w:type="dxa"/>
          </w:tcPr>
          <w:p w:rsidR="00896D04" w:rsidRPr="0018442E" w:rsidRDefault="00896D04" w:rsidP="00E06B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6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 одно исследование</w:t>
            </w:r>
          </w:p>
        </w:tc>
      </w:tr>
      <w:tr w:rsidR="00896D04" w:rsidRPr="0018442E" w:rsidTr="00896D04">
        <w:trPr>
          <w:trHeight w:val="3420"/>
        </w:trPr>
        <w:tc>
          <w:tcPr>
            <w:tcW w:w="567" w:type="dxa"/>
            <w:vMerge w:val="restart"/>
          </w:tcPr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Pr="00464EA3" w:rsidRDefault="00896D04" w:rsidP="00E06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2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Набор для проведения цитологических исследований гинекологического материала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5038">
              <w:rPr>
                <w:sz w:val="24"/>
                <w:szCs w:val="24"/>
              </w:rPr>
              <w:t xml:space="preserve"> 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приготовления и окрашивания мазков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проведений цитологических исследований</w:t>
            </w:r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BD </w:t>
            </w:r>
            <w:proofErr w:type="spellStart"/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PrepStain</w:t>
            </w:r>
            <w:proofErr w:type="spellEnd"/>
            <w:r w:rsidRPr="00E4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™</w:t>
            </w:r>
          </w:p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Жидкость 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консервирующая во </w:t>
            </w:r>
          </w:p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флаконе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2" w:type="dxa"/>
          </w:tcPr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Флаконы содержат консервирующий раствор, который является средой для сбора, транспортировки, консервирования и антибактериальной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обработки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гинекологических образцов. Консервирующий раствор содержит водный раствор денатурированного этилового спирта, небольшое количество метилового и изопропилового спиртов. Срок хранения флакона (без материала) 3 года при комнатной температуре. Срок хранения флакона с материалом - 4 недели при комнатной температуре и 6 мес. в холодильнике. Срок годности 3 года. Кратность 1 упаковка на 500 исследований.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500 </w:t>
            </w:r>
            <w:proofErr w:type="spellStart"/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1шт</w:t>
            </w:r>
          </w:p>
        </w:tc>
      </w:tr>
      <w:tr w:rsidR="00896D04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Щетка для взятия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цервикального мазка </w:t>
            </w:r>
          </w:p>
          <w:p w:rsidR="00896D04" w:rsidRDefault="00896D04" w:rsidP="00E06B2B"/>
        </w:tc>
        <w:tc>
          <w:tcPr>
            <w:tcW w:w="7512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Комбинированная щетка, предназначена для взятия цервикальных образцов. Только для одноразового использования. Полиэтиленовая, длиной 20 см. Верхняя часть щеточки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состоит из гибких щетинок различной длины по центру расположен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ершик, который позволяет получить клетки из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эндоцервикального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канала, после взятия образца, снимается во флакон. Срок годности 5 лет. </w:t>
            </w:r>
            <w:r w:rsidRPr="0018442E">
              <w:rPr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500 исследований.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500 </w:t>
            </w:r>
            <w:proofErr w:type="spellStart"/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уп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1шт</w:t>
            </w:r>
          </w:p>
        </w:tc>
      </w:tr>
      <w:tr w:rsidR="00896D04" w:rsidTr="00896D04">
        <w:tc>
          <w:tcPr>
            <w:tcW w:w="567" w:type="dxa"/>
            <w:vMerge/>
            <w:vAlign w:val="center"/>
          </w:tcPr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Жидкость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Pr="0018442E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промывания</w:t>
            </w:r>
          </w:p>
        </w:tc>
        <w:tc>
          <w:tcPr>
            <w:tcW w:w="7512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Промывочная смесь, для промывания осадочных камер при процедуре окрашивания на аппарате, состоящая из следующих компонентов: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изопропанол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- 50%, этанол - 48%, метанол - 2%. Упакован в герметичные пластиковые контейнеры.  </w:t>
            </w:r>
            <w:r w:rsidRPr="0018442E">
              <w:rPr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Срок годности 2 года.  Кратность 1 канистра на 240 исследований.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канистра 1700 мл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7,08 мл</w:t>
            </w:r>
          </w:p>
        </w:tc>
      </w:tr>
      <w:tr w:rsidR="00896D04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Красители</w:t>
            </w:r>
          </w:p>
        </w:tc>
        <w:tc>
          <w:tcPr>
            <w:tcW w:w="7512" w:type="dxa"/>
          </w:tcPr>
          <w:p w:rsidR="00896D04" w:rsidRPr="0018442E" w:rsidRDefault="00896D04" w:rsidP="00E06B2B">
            <w:pPr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Набор красителей BD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для окрашивания клеток в цитологических образцах (гинекологический материал) в пластиковых флаконах, предназначен для использования с системой BD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для окрашивания цитологических препаратов по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Папаниколау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в составе: </w:t>
            </w:r>
          </w:p>
          <w:p w:rsidR="00896D04" w:rsidRPr="0018442E" w:rsidRDefault="00896D04" w:rsidP="0089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краситель гематоксилин 0,75 - 1 флакон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480 мл; </w:t>
            </w:r>
          </w:p>
          <w:p w:rsidR="00896D04" w:rsidRPr="0018442E" w:rsidRDefault="00896D04" w:rsidP="00896D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раситель, комбинированный ЕА/О</w:t>
            </w:r>
            <w:proofErr w:type="gramStart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G</w:t>
            </w:r>
            <w:proofErr w:type="gramEnd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-1 флакон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480 мл. Краситель EA/OG для цитологических препаратов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содержит спирт.</w:t>
            </w:r>
            <w:r w:rsidRPr="0018442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Срок годности 1 год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480 исследований</w:t>
            </w:r>
          </w:p>
        </w:tc>
        <w:tc>
          <w:tcPr>
            <w:tcW w:w="1275" w:type="dxa"/>
            <w:vAlign w:val="center"/>
          </w:tcPr>
          <w:p w:rsidR="00896D04" w:rsidRPr="0018442E" w:rsidRDefault="00896D04" w:rsidP="00E06B2B">
            <w:pPr>
              <w:ind w:left="21" w:hanging="12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2 флакона по 480 мл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2 мл (по 1 мл каждого вида)</w:t>
            </w:r>
          </w:p>
        </w:tc>
      </w:tr>
      <w:tr w:rsidR="00896D04" w:rsidRPr="0018442E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Порошок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приготовления 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буферного раствора</w:t>
            </w:r>
          </w:p>
        </w:tc>
        <w:tc>
          <w:tcPr>
            <w:tcW w:w="7512" w:type="dxa"/>
          </w:tcPr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Порошок буферный, </w:t>
            </w:r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7,8 - 8.2, порошок белого цвета, в составе: 0.138 </w:t>
            </w:r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NaCl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0.0027 </w:t>
            </w:r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KCl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вес пакета 14.49 - 16.01 г   время растворения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-н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е более 5 минут. Для приготовления 18 литров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ресуспензирующего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раствора.</w:t>
            </w:r>
            <w:r w:rsidRPr="0018442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Срок годности не ограничен. Кратность 1 упаковка на 2400 исследований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 пакет</w:t>
            </w:r>
          </w:p>
        </w:tc>
        <w:tc>
          <w:tcPr>
            <w:tcW w:w="1418" w:type="dxa"/>
            <w:vAlign w:val="center"/>
          </w:tcPr>
          <w:p w:rsidR="00896D04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Pr="0018442E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7,5 мл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раб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аст</w:t>
            </w:r>
            <w:proofErr w:type="spellEnd"/>
          </w:p>
        </w:tc>
      </w:tr>
      <w:tr w:rsidR="00896D04" w:rsidTr="00896D04">
        <w:tc>
          <w:tcPr>
            <w:tcW w:w="567" w:type="dxa"/>
            <w:vMerge/>
          </w:tcPr>
          <w:p w:rsidR="00896D04" w:rsidRDefault="00896D04" w:rsidP="00E06B2B"/>
        </w:tc>
        <w:tc>
          <w:tcPr>
            <w:tcW w:w="1985" w:type="dxa"/>
            <w:vMerge/>
          </w:tcPr>
          <w:p w:rsidR="00896D04" w:rsidRDefault="00896D04" w:rsidP="00E06B2B"/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  <w:proofErr w:type="gram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проведения 480 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тестов</w:t>
            </w:r>
          </w:p>
        </w:tc>
        <w:tc>
          <w:tcPr>
            <w:tcW w:w="7512" w:type="dxa"/>
          </w:tcPr>
          <w:p w:rsidR="00896D04" w:rsidRPr="0018442E" w:rsidRDefault="00896D04" w:rsidP="00E06B2B">
            <w:pPr>
              <w:ind w:left="6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абор для проведения цитологических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исследований гинекологического материала 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приборе:</w:t>
            </w:r>
          </w:p>
          <w:p w:rsidR="00896D04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шприц-пипетки</w:t>
            </w:r>
            <w:proofErr w:type="spellEnd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, 240х2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Шприц-пипетки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одноразовые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годности не ограничен</w:t>
            </w:r>
          </w:p>
          <w:p w:rsidR="00896D04" w:rsidRPr="0018442E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наконечники для аспиратора, 96х5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t xml:space="preserve">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одноразовые для BD </w:t>
            </w:r>
            <w:proofErr w:type="spellStart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.  Срок годности не ограничен                                                                                          </w:t>
            </w:r>
          </w:p>
          <w:p w:rsidR="00896D04" w:rsidRPr="0018442E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lastRenderedPageBreak/>
              <w:t>реагент плотности, 480х4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; служит для процедуры обогащения клетки. Это специальным образом подобранная смесь полисахаридов, проходя через которые, образец очищается от слизи, грязи,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дейтрита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Содержит азид натрия.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 xml:space="preserve">  Срок годности 2 года</w:t>
            </w:r>
          </w:p>
          <w:p w:rsidR="00896D04" w:rsidRPr="00A3270D" w:rsidRDefault="00896D04" w:rsidP="00896D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пробирки </w:t>
            </w:r>
            <w:proofErr w:type="spellStart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центрифужные</w:t>
            </w:r>
            <w:proofErr w:type="spellEnd"/>
            <w:r w:rsidRPr="00A3270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, 480 шт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.; Пробирки </w:t>
            </w:r>
            <w:proofErr w:type="spellStart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центрифужные</w:t>
            </w:r>
            <w:proofErr w:type="spellEnd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 пластиковые, объемом 12 мл, служат для процедуры обогащения клетки.  Размер пробирки -  Высота: 109.4 ± 0.30 мм внутренний диаметр: 14.4 - 0.15 мм внешний диаметр: 17.2 ± 0.30 мм Материал: полипропилен. Срок годности 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ограничен.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480 исследований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набор на 480 исследований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/480</w:t>
            </w:r>
          </w:p>
        </w:tc>
      </w:tr>
      <w:tr w:rsidR="00896D04" w:rsidTr="00896D04">
        <w:trPr>
          <w:trHeight w:val="3792"/>
        </w:trPr>
        <w:tc>
          <w:tcPr>
            <w:tcW w:w="567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  <w:proofErr w:type="gramStart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окрашивания </w:t>
            </w: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цитологических</w:t>
            </w:r>
            <w:r w:rsidRPr="002A68A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образцов</w:t>
            </w:r>
          </w:p>
        </w:tc>
        <w:tc>
          <w:tcPr>
            <w:tcW w:w="7512" w:type="dxa"/>
          </w:tcPr>
          <w:p w:rsidR="00896D04" w:rsidRPr="00913BB6" w:rsidRDefault="00896D04" w:rsidP="00E06B2B">
            <w:pPr>
              <w:ind w:left="72"/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Набор для проведения цитологических исследований гинекологического материала на приборе BD </w:t>
            </w:r>
            <w:proofErr w:type="spellStart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896D04" w:rsidRPr="00913BB6" w:rsidRDefault="00896D04" w:rsidP="00896D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одноразовые наконечники для переноса жидкости,96х5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мат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ериал - 100% полипропилен. 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Срок годности не ограничен                        </w:t>
            </w:r>
          </w:p>
          <w:p w:rsidR="00896D04" w:rsidRPr="00913BB6" w:rsidRDefault="00896D04" w:rsidP="00896D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осадочные камеры ,</w:t>
            </w: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240х2</w:t>
            </w:r>
            <w:r>
              <w:t>;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Осадочные камеры для BD </w:t>
            </w:r>
            <w:proofErr w:type="spellStart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PrepStain</w:t>
            </w:r>
            <w:proofErr w:type="spellEnd"/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размер полученног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 с их помощью отпечатка 13 мм.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Срок годности не ограничен</w:t>
            </w:r>
          </w:p>
          <w:p w:rsidR="00896D04" w:rsidRDefault="00896D04" w:rsidP="00896D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стекла предметные для лабораторных исследований </w:t>
            </w:r>
            <w:proofErr w:type="spellStart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in</w:t>
            </w:r>
            <w:proofErr w:type="spellEnd"/>
            <w:r w:rsidRPr="00913BB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vitro,96х5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913BB6">
              <w:t>Предметные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 стекла. Толщина: (0.93 – 1.07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) Длина: (74.7 – 76.5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 xml:space="preserve">). Ширина: (24.7– 26.5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r w:rsidRPr="00913BB6">
              <w:rPr>
                <w:rFonts w:ascii="Times New Roman" w:hAnsi="Times New Roman" w:cs="Times New Roman"/>
                <w:sz w:val="21"/>
                <w:szCs w:val="21"/>
              </w:rPr>
              <w:t>). Обеспечивают адгезию клеток к поверхности стекла.  Срок годности 1,5 года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Кратность 1 упаковка на 480 исследований</w:t>
            </w:r>
          </w:p>
        </w:tc>
        <w:tc>
          <w:tcPr>
            <w:tcW w:w="1275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A3270D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набор на 480 исследований</w:t>
            </w:r>
          </w:p>
        </w:tc>
        <w:tc>
          <w:tcPr>
            <w:tcW w:w="1418" w:type="dxa"/>
          </w:tcPr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6D04" w:rsidRDefault="00896D04" w:rsidP="00E06B2B">
            <w:r w:rsidRPr="0018442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3270D">
              <w:rPr>
                <w:rFonts w:ascii="Times New Roman" w:hAnsi="Times New Roman" w:cs="Times New Roman"/>
                <w:sz w:val="21"/>
                <w:szCs w:val="21"/>
              </w:rPr>
              <w:t>/480</w:t>
            </w:r>
          </w:p>
        </w:tc>
      </w:tr>
      <w:tr w:rsidR="00896D04" w:rsidTr="00896D04">
        <w:trPr>
          <w:trHeight w:val="171"/>
        </w:trPr>
        <w:tc>
          <w:tcPr>
            <w:tcW w:w="567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896D04" w:rsidRPr="002A68A4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896D04" w:rsidRPr="00A3270D" w:rsidRDefault="00896D04" w:rsidP="00E06B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Покровные стекла для лабораторных исследований</w:t>
            </w:r>
          </w:p>
        </w:tc>
        <w:tc>
          <w:tcPr>
            <w:tcW w:w="7512" w:type="dxa"/>
            <w:vAlign w:val="center"/>
          </w:tcPr>
          <w:p w:rsidR="00896D04" w:rsidRPr="00E45038" w:rsidRDefault="00896D04" w:rsidP="00E06B2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8">
              <w:rPr>
                <w:rFonts w:ascii="Times New Roman" w:hAnsi="Times New Roman" w:cs="Times New Roman"/>
                <w:sz w:val="24"/>
                <w:szCs w:val="24"/>
              </w:rPr>
              <w:t xml:space="preserve">Покровные стекла – 24х24 мм </w:t>
            </w:r>
          </w:p>
        </w:tc>
        <w:tc>
          <w:tcPr>
            <w:tcW w:w="1275" w:type="dxa"/>
            <w:vAlign w:val="center"/>
          </w:tcPr>
          <w:p w:rsidR="00896D04" w:rsidRPr="00E45038" w:rsidRDefault="00896D04" w:rsidP="00E06B2B">
            <w:pPr>
              <w:ind w:left="21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3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45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896D04" w:rsidRPr="00E45038" w:rsidRDefault="00896D04" w:rsidP="00E06B2B">
            <w:pPr>
              <w:ind w:left="21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8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</w:tc>
      </w:tr>
    </w:tbl>
    <w:p w:rsidR="00896D04" w:rsidRDefault="00896D04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659EA" w:rsidRDefault="00E03EF3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3E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Место поставки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ктобе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ул. Джамбула 1Б</w:t>
      </w:r>
    </w:p>
    <w:p w:rsidR="00A659EA" w:rsidRDefault="00E03EF3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рок поставки МИ  в течени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1E57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года по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сле  заявки З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аказчика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течении 10 календарных дней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59EA" w:rsidRPr="00E03EF3" w:rsidRDefault="00E03EF3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03E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Время начала и окончания приема заявок с обратным отсчетом оставшегося времени</w:t>
      </w:r>
      <w:r w:rsidR="00B33A6F" w:rsidRPr="00E03E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8A626C" w:rsidRDefault="00DE2DD1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окументы принимаются по адресу: г </w:t>
      </w:r>
      <w:proofErr w:type="spellStart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Актобе</w:t>
      </w:r>
      <w:proofErr w:type="spellEnd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proofErr w:type="spellEnd"/>
      <w:proofErr w:type="gramEnd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Джамбула 1Б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, бухгалтерия, окончател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ьный срок подачи </w:t>
      </w:r>
      <w:r w:rsidR="006812C8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объявления с </w:t>
      </w:r>
      <w:r w:rsidR="000F09CA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0F09CA" w:rsidRPr="00973B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9</w:t>
      </w:r>
      <w:r w:rsidR="006812C8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" w:name="_GoBack"/>
      <w:bookmarkEnd w:id="1"/>
      <w:r w:rsidR="000F09CA" w:rsidRPr="00973B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февраля </w:t>
      </w:r>
      <w:r w:rsidR="00B33A6F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="000F09CA" w:rsidRPr="00973B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1</w:t>
      </w:r>
      <w:r w:rsidR="001E57CC" w:rsidRPr="00973B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1</w:t>
      </w:r>
      <w:r w:rsidR="001E57CC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F09CA" w:rsidRPr="00973B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марта</w:t>
      </w:r>
      <w:r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1E57CC" w:rsidRPr="00973BA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4</w:t>
      </w:r>
      <w:r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г, 10.00 часов включительно</w:t>
      </w:r>
      <w:r w:rsidR="00B33A6F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659EA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>дата, время и место вскрытия конвертов с тендерными заявками</w:t>
      </w:r>
      <w:r w:rsidR="00B33A6F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будет проходить в </w:t>
      </w:r>
      <w:r w:rsidR="006102EF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>актовом зале</w:t>
      </w:r>
      <w:r w:rsidR="00B33A6F"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комиссии    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Г.А.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Члены комиссии: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Врач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73BA8">
        <w:rPr>
          <w:rFonts w:ascii="Times New Roman" w:eastAsia="Times New Roman" w:hAnsi="Times New Roman" w:cs="Times New Roman"/>
          <w:color w:val="000000"/>
          <w:sz w:val="20"/>
          <w:szCs w:val="20"/>
        </w:rPr>
        <w:t>Ахметова К.А.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Юрист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Темиргалиев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Т.Ж.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Досмуратова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Б.Т.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Ст. лаборант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Хощанова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Г.Ш.</w:t>
      </w:r>
    </w:p>
    <w:p w:rsidR="00E03EF3" w:rsidRDefault="00E03EF3" w:rsidP="00C706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 комиссии          специалист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акупкам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Рысмагамбетова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Г.А.</w:t>
      </w:r>
    </w:p>
    <w:p w:rsidR="00E03EF3" w:rsidRPr="00C706BF" w:rsidRDefault="00E03EF3" w:rsidP="00C706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1584" w:rsidRDefault="00973BA8"/>
    <w:sectPr w:rsidR="00AA1584" w:rsidSect="00575F70">
      <w:pgSz w:w="16838" w:h="11906" w:orient="landscape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0AA"/>
    <w:multiLevelType w:val="hybridMultilevel"/>
    <w:tmpl w:val="5352F2A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2E20B71"/>
    <w:multiLevelType w:val="hybridMultilevel"/>
    <w:tmpl w:val="F958579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4D93488"/>
    <w:multiLevelType w:val="hybridMultilevel"/>
    <w:tmpl w:val="1034FF8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852"/>
    <w:rsid w:val="000749EB"/>
    <w:rsid w:val="000D36D0"/>
    <w:rsid w:val="000F09CA"/>
    <w:rsid w:val="0010180C"/>
    <w:rsid w:val="0013595A"/>
    <w:rsid w:val="0018280E"/>
    <w:rsid w:val="001B69CC"/>
    <w:rsid w:val="001E57CC"/>
    <w:rsid w:val="002026E8"/>
    <w:rsid w:val="002046CE"/>
    <w:rsid w:val="002724F5"/>
    <w:rsid w:val="002F1840"/>
    <w:rsid w:val="003E272B"/>
    <w:rsid w:val="003E7DE8"/>
    <w:rsid w:val="00435E34"/>
    <w:rsid w:val="00514C47"/>
    <w:rsid w:val="00562612"/>
    <w:rsid w:val="0057518B"/>
    <w:rsid w:val="00575F70"/>
    <w:rsid w:val="005E51C5"/>
    <w:rsid w:val="005F036B"/>
    <w:rsid w:val="006102EF"/>
    <w:rsid w:val="006106F2"/>
    <w:rsid w:val="00621C89"/>
    <w:rsid w:val="006812C8"/>
    <w:rsid w:val="006B3E02"/>
    <w:rsid w:val="007C7A62"/>
    <w:rsid w:val="007F366F"/>
    <w:rsid w:val="008349EC"/>
    <w:rsid w:val="008425AF"/>
    <w:rsid w:val="00896D04"/>
    <w:rsid w:val="008A626C"/>
    <w:rsid w:val="008C3852"/>
    <w:rsid w:val="008F13F3"/>
    <w:rsid w:val="00925186"/>
    <w:rsid w:val="00973BA8"/>
    <w:rsid w:val="009772F5"/>
    <w:rsid w:val="0098485D"/>
    <w:rsid w:val="009B2135"/>
    <w:rsid w:val="009E256E"/>
    <w:rsid w:val="009F21B6"/>
    <w:rsid w:val="009F41A1"/>
    <w:rsid w:val="009F6ACD"/>
    <w:rsid w:val="00A60448"/>
    <w:rsid w:val="00A659EA"/>
    <w:rsid w:val="00AC5357"/>
    <w:rsid w:val="00AD495E"/>
    <w:rsid w:val="00B33A6F"/>
    <w:rsid w:val="00BC365F"/>
    <w:rsid w:val="00C20C4D"/>
    <w:rsid w:val="00C2467A"/>
    <w:rsid w:val="00C63ED4"/>
    <w:rsid w:val="00C706BF"/>
    <w:rsid w:val="00D04572"/>
    <w:rsid w:val="00D33F31"/>
    <w:rsid w:val="00DE2DD1"/>
    <w:rsid w:val="00E03EF3"/>
    <w:rsid w:val="00EE2BE5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9B21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896D0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D04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315E-3905-4688-9B93-0FABF067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Gulshat</cp:lastModifiedBy>
  <cp:revision>12</cp:revision>
  <cp:lastPrinted>2023-02-17T06:39:00Z</cp:lastPrinted>
  <dcterms:created xsi:type="dcterms:W3CDTF">2023-02-16T11:38:00Z</dcterms:created>
  <dcterms:modified xsi:type="dcterms:W3CDTF">2024-02-19T06:45:00Z</dcterms:modified>
</cp:coreProperties>
</file>